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4</w:t>
      </w:r>
      <w:r>
        <w:rPr>
          <w:b/>
          <w:bCs/>
        </w:rPr>
        <w:t>/2024</w:t>
      </w:r>
    </w:p>
    <w:p>
      <w:pPr>
        <w:pStyle w:val="NormalWeb"/>
        <w:spacing w:before="280" w:after="280"/>
        <w:rPr/>
      </w:pPr>
      <w:r>
        <w:rPr/>
        <w:t>Σύμφωνα με τα άρθρα 80 και 82 του Ν.3852/2010 και την αριθμ.94/26-01-2024 εγκύκλιο του ΥΠ.ΕΣ. και κατόπιν απόφασης του Προέδρου που ελήφθη την 21 Ιουνίου 2024, επί του θέματος: “</w:t>
      </w:r>
      <w:r>
        <w:rPr>
          <w:b/>
          <w:bCs/>
        </w:rPr>
        <w:t>Έγκριση δαπανών για τη διοργάνωση εκδήλωσης της Κοινότητας στις 6/9/2024</w:t>
      </w:r>
      <w:r>
        <w:rPr/>
        <w:t>” , αποφάσισε:</w:t>
      </w:r>
    </w:p>
    <w:p>
      <w:pPr>
        <w:pStyle w:val="NormalWeb"/>
        <w:spacing w:before="280" w:after="280"/>
        <w:rPr>
          <w:b/>
          <w:bCs/>
        </w:rPr>
      </w:pPr>
      <w:r>
        <w:rPr>
          <w:b/>
          <w:bCs/>
        </w:rPr>
        <w:t xml:space="preserve">Την διοργάνωση εκδήλωσης για το 1ο αντάμωμα απανταχού συγχωριανών, στις 6/9/2024, στο προαύλιο του πρώην δημοτικού σχολείου της Κοινότητας Λουτρού, </w:t>
      </w:r>
      <w:r>
        <w:rPr>
          <w:b/>
          <w:bCs/>
        </w:rPr>
        <w:t>συνολικής αξίας 2.000 ευρώ</w:t>
      </w:r>
    </w:p>
    <w:p>
      <w:pPr>
        <w:pStyle w:val="Normal"/>
        <w:spacing w:lineRule="auto" w:line="192"/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LibreOffice/7.5.6.2$Windows_x86 LibreOffice_project/f654817fb68d6d4600d7d2f6b647e47729f55f15</Application>
  <AppVersion>15.0000</AppVersion>
  <Pages>1</Pages>
  <Words>116</Words>
  <Characters>700</Characters>
  <CharactersWithSpaces>915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dcterms:modified xsi:type="dcterms:W3CDTF">2024-06-21T10:21:28Z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